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amendement.100.2013.VVD.Slotwijziging begroting 2013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0-2013-VVD-Slotwijziging-begroting-2013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amendement.99.2014.gK.uitgangspunten participatie 2014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9-2014-gK-uitgangspunten-participatie-2014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amendement.97.2013.spelregels Vastgoedbeleid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7-2013-spelregels-Vastgoedbeleid-verworp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amendement.96.2013.PvdA.Huishoudelijke hulp 2014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6-2013-PvdA-Huishoudelijke-hulp-2014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amendement.98.2013.SGP.financiële verordening 2014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8-2013-SGP-financiele-verordening-2014-aangenom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amendement.95.2013.LR.bijlage10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5-2013-LR-bijlage10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amendement.93.2013.PvdA.Uitgangspuntennota 2.0 decentralisatie AWBZ-WMO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3-2013-PvdA-Uitgangspuntennota-2-0-decentralisatie-AWBZ-WMO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amendement.92.2013.D66GL.Toegankelijkheid Pgb-Pvb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2-2013-D66GL-Toegankelijkheid-Pgb-Pvb-aangeno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amendement.94.2013.SGP.MRDH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4-2013-SGP-MRDH-aangeno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amendement.91.2013.LR.Park Ringdijk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1-2013-LR-Park-Ringdijk-aangenom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amendement.90.2013.VVD.Park Ringdijk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0-2013-VVD-Park-Ringdijk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amendement.26.2010.D66GL.pdf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6-2010-D66G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amendement.42.2011.PvdA.pdf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2-2011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amendement.24.2010.D66GL.pdf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4-2010-D66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amendement.45.2011.D66GL.pdf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5-2011-D66G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amendement.47.2011.CDA.pdf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7-2011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amendement.54.2012.SGP.pdf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4-2012-SG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amendement.21.2010.VVD.pdf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1-2010-VV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amendement.28.2010.LR.pdf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8-2010-L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amendement.25.2010.D66GL.pdf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5-2010-D66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amendement.46.2011.CDA.pdf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6-2011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amendement.20.2010.VVD.pdf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0-2010-VV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amendement.22.2010.VVD.pdf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2-2010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amendement.41.2011.PvdA.pdf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1-2011-Pv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amendement.43.2011.D66GL.pdf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3-2011-D66G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amendement.31.2010.D66GL.pdf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1-2010-D66G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amendement.35.2011.D66GL.pdf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5-2011-D66G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232" meta:character-count="2056" meta:non-whitespace-character-count="1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