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amendement.24.2015.VVD.Zienswijze windenergie provincie purperreiger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4-2015-VVD-Zienswijze-windenergie-provincie-purperreiger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amendement.23.2015.VVD.Zienswijze windenergie provincie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3-2015-VVD-Zienswijze-windenergie-provincie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amendement.22.2015.VVD.eenmalige compensatie 2016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2-2015-VVD-eenmalige-compensatie-2016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amendement.21.2015.SGP. RKC rapport St. SenW aangestuurd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1-2015-SGP-RKC-rapport-St-SenW-aangestuurd-aangenom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amendement.20.2015.EvR.Bp en vergunningplicht huisvesting mantelzorg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0-2015-EvR-Bp-en-vergunningplicht-huisvesting-mantelzorg-aangenom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amendement.19.2015.EvR.brief VBO Fresh World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215,68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9-2015-EvR-brief-VBO-Fresh-World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amendement.18.2015.VVD.Jaarstukken 2014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291,96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8-2015-VVD-Jaarstukken-2014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amendement.16.2015.VVD.begroting dierenwelzijn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211,23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6-2015-VVD-begroting-dierenwelzijn-aangenom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2015-17 Nieuwe begrotingsopzet vanaf 2016 adm. lasten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015-17-Nieuwe-begrotingsopzet-vanaf-2016-adm-lasten-aangenom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amendement.15.2015.D66GL.Rapport Werken aan betere digitale dienstverlening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5-2015-D66GL-Rapport-Werken-aan-betere-digitale-dienstverlening-aangenom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amendement.13.2015.LR.Vaststelling bp Buitengebied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3-2015-LR-Vaststelling-bp-Buitengebied-aangenom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amendement.14.2015.CU.Vaststelling bp Buitengebied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4-2015-CU-Vaststelling-bp-Buitengebied-aangenom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amendement.12.2015.LR.boomgaard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218,70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2-2015-LR-boomgaard-aangenom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amendement.11.2015.EvR.boomgaard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1-2015-EvR-boomgaard-verworp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amendement.10.2015.EvR.Actieprogramma Veiligheid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0-2015-EvR-Actieprogramma-Veiligheid-aangenome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75" meta:character-count="1609" meta:non-whitespace-character-count="1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