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1 motie 2025-129 gemeenteraad Johan van Straalen, eerste griffier gemeente Ridderkerk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2 Motie 2023-074 Partij 18PLUS Ondernemerspenning</text:span>
              </text:span>
            </text:a>
          </text:p>
        </text:list-item>
        <text:list-item>
          <text:p text:style-name="P2" loext:marker-style-name="T5">
            <text:a xlink:type="simple" xlink:href="#402" text:style-name="Internet_20_link" text:visited-style-name="Visited_20_Internet_20_Link">
              <text:span text:style-name="ListLabel_20_28">
                <text:span text:style-name="T8">3 Motie 2023-063 CDA Campagne impact illegaal drugsgebruik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2"/>
        motie 2025-129 gemeenteraad Johan van Straalen, eerste griffier gemeente Ridderkerk
        <text:bookmark-end text:name="78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25-04-2025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129-2025 gemeenteraad Johan van Straalen eerste griffier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02-april/16:00/Toespraken/motie-129-2025-gemeenteraad-Johan-van-Straalen-eerste-griffi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15-08-2025 14:09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6.A2" office:value-type="string">
            <text:p text:style-name="P8">04-04-2025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6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15-08-2025 13:54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8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21" meta:character-count="1567" meta:non-whitespace-character-count="1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