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" w:history="1">
        <w:r>
          <w:rPr>
            <w:rFonts w:ascii="Arial" w:hAnsi="Arial" w:eastAsia="Arial" w:cs="Arial"/>
            <w:color w:val="155CAA"/>
            <w:u w:val="single"/>
          </w:rPr>
          <w:t xml:space="preserve">1 Motie 2022-002 Leefbaar Ridderkerk Geen bijbetaling afvalstoffenheffing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"/>
      <w:r w:rsidRPr="00A448AC">
        <w:rPr>
          <w:rFonts w:ascii="Arial" w:hAnsi="Arial" w:cs="Arial"/>
          <w:b/>
          <w:bCs/>
          <w:color w:val="303F4C"/>
          <w:lang w:val="en-US"/>
        </w:rPr>
        <w:t>Motie 2022-002 Leefbaar Ridderkerk Geen bijbetaling afvalstoffenheffing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2-2022 LR Geen bijbetaling afvalstoffenheffing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2-2022-LR-Geen-bijbetaling-afvalstoffenheffing-2022.pdf" TargetMode="External" /><Relationship Id="rId25" Type="http://schemas.openxmlformats.org/officeDocument/2006/relationships/hyperlink" Target="https://raad.ridderkerk.nl//Documenten/Stand-van-zaken-overige-openstaande-moties-2019-oktober-2023.pdf" TargetMode="External" /><Relationship Id="rId26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