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9" text:style-name="Internet_20_link" text:visited-style-name="Visited_20_Internet_20_Link">
              <text:span text:style-name="ListLabel_20_28">
                <text:span text:style-name="T8">1 Motie 2023-044 ChristenUnie hulp voor kinderen bij (v)echtscheiding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9"/>
        Motie 2023-044 ChristenUnie hulp voor kinderen bij (v)echtscheiding
        <text:bookmark-end text:name="2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22-04-2024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44-2023 SGP CU hulp voor kinderen bij v-echtscheiding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121,66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8-juni/20:00/Motie-hulp-voor-kinderen-bij-v-echtscheiding/motie-44-2023-SGP-CU-hulp-voor-kinderen-bij-v-echtscheid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Ondersteuning kinderen en jongeren in armoede en bij vechtscheiding 2024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861,37 KB</text:p>
          </table:table-cell>
          <table:table-cell table:style-name="Table4.A2" office:value-type="string">
            <text:p text:style-name="P33">
              <text:a xlink:type="simple" xlink:href="https://raad.ridderkerk.nl//Documenten/Ondersteuning-kinderen-en-jongeren-in-armoede-en-bij-vechtscheid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7" meta:character-count="677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