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" w:history="1">
        <w:r>
          <w:rPr>
            <w:rFonts w:ascii="Arial" w:hAnsi="Arial" w:eastAsia="Arial" w:cs="Arial"/>
            <w:color w:val="155CAA"/>
            <w:u w:val="single"/>
          </w:rPr>
          <w:t xml:space="preserve">1 motie 2023-050 Leefbaar Ridderkerk Geluidsflitspalen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"/>
      <w:r w:rsidRPr="00A448AC">
        <w:rPr>
          <w:rFonts w:ascii="Arial" w:hAnsi="Arial" w:cs="Arial"/>
          <w:b/>
          <w:bCs/>
          <w:color w:val="303F4C"/>
          <w:lang w:val="en-US"/>
        </w:rPr>
        <w:t>motie 2023-050 Leefbaar Ridderkerk Geluidsflitspalen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50-2023 LR Geluidsflitspalen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29-juni/20:00/1e-Tussenrapportage-2023/motie-50-2023-LR-Geluidsflitspalen-aangenomen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