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" w:history="1">
        <w:r>
          <w:rPr>
            <w:rFonts w:ascii="Arial" w:hAnsi="Arial" w:eastAsia="Arial" w:cs="Arial"/>
            <w:color w:val="155CAA"/>
            <w:u w:val="single"/>
          </w:rPr>
          <w:t xml:space="preserve">2 097 SGP Realisatie van een (pre)mantelzorgwoning 29-11-2023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"/>
      <w:r w:rsidRPr="00A448AC">
        <w:rPr>
          <w:rFonts w:ascii="Arial" w:hAnsi="Arial" w:cs="Arial"/>
          <w:b/>
          <w:bCs/>
          <w:color w:val="303F4C"/>
          <w:lang w:val="en-US"/>
        </w:rPr>
        <w:t>097 SGP Realisatie van een (pre)mantelzorgwoning 29-11-2023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college realisatie pre-mantelzorgwoning 22-12-2023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amendement.20.2015.EvR.Bp en vergunningplicht huisvesting mantelzorg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SGP Realisatie pre-mantelzorgwoning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Relationship Id="rId124" Type="http://schemas.openxmlformats.org/officeDocument/2006/relationships/hyperlink" Target="https://raad.ridderkerk.nl//Documenten/97-Antwoord-college-realisatie-pre-mantelzorgwoning-22-12-2023.pdf" TargetMode="External" /><Relationship Id="rId125" Type="http://schemas.openxmlformats.org/officeDocument/2006/relationships/hyperlink" Target="https://raad.ridderkerk.nl//Documenten/Amendementen/amendement-20-2015-EvR-Bp-en-vergunningplicht-huisvesting-mantelzorg-aangenomen-1.pdf" TargetMode="External" /><Relationship Id="rId126" Type="http://schemas.openxmlformats.org/officeDocument/2006/relationships/hyperlink" Target="https://raad.ridderkerk.nl//Documenten/97-SGP-Realisatie-pre-mantelzorgwo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