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11:23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2025-10-16-verslag-gemeenteraad-ridderkerk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487,43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6-oktober/20:00/Besluitenlijst-en-verslag/2025-10-16-verslag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2025-09-11-verslag-gemeenteraad-ridderkerk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513,97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Besluitenlijst-en-verslag/2025-09-11-verslag-gemeenteraad-ridder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2025-07-10-verslag-gemeenteraad-ridderkerk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30-07-2025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973,13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Besluitenlijst-en-verslag/2025-07-10-verslag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2025-06-19-verslag-gemeenteraad-ridderkerk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310,55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juni/20:00/Besluitenlijst-en-verslag/2025-06-19-verslag-gemeenteraad-ridderk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2025-05-15-verslag-gemeenteraad-ridderkerk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540,94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Besluitenlijst-en-verslag/2025-05-15-verslag-gemeenteraad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2025-05-19-verslag-gemeenteraad-ridderkerk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449,40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mei/20:00/besluitenlijst-en-verslag/2025-05-19-verslag-gemeenteraad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2025-04-10-verslag-gemeenteraad-ridderkerk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09-05-2025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383,69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april/20:00/Besluitenlijst-en-verslag/2025-04-10-verslag-gemeenteraad-ridderker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2025-04-02-verslag-gemeenteraad-ridderkerk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02-april/16:00/Verslag/2025-04-02-verslag-gemeenteraa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2025-03-20-verslag-gemeenteraad-ridderkerk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389,82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maart/20:00/Besluitenlijst-en-verslag/2025-03-20-verslag-gemeenteraa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2025-02-13-verslag-gemeenteraad-ridderkerk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28-02-2025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483,47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3-februari/20:00/Besluitenlijst-en-verslag/2025-02-13-verslag-gemeenteraad-ridderk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2025-01-30-verslag-gemeenteraad-ridderkerk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11-02-2025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115,51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30-januari/19:30/Besluitenlijst-en-verslag/2025-01-30-verslag-gemeenteraad-ridderk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2025-01-23-verslag-gemeenteraad-ridderkerk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361,13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Besluitenlijst-en-verslag/2025-01-23-verslag-gemeenteraad-ridderkerk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02" meta:character-count="993" meta:non-whitespace-character-count="97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763012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763012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